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C9" w:rsidRDefault="00436AC9" w:rsidP="00436AC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全险报价比对</w:t>
      </w:r>
    </w:p>
    <w:tbl>
      <w:tblPr>
        <w:tblpPr w:leftFromText="180" w:rightFromText="180" w:vertAnchor="page" w:horzAnchor="page" w:tblpX="1695" w:tblpY="2114"/>
        <w:tblOverlap w:val="never"/>
        <w:tblW w:w="9740" w:type="dxa"/>
        <w:tblLayout w:type="fixed"/>
        <w:tblLook w:val="0000"/>
      </w:tblPr>
      <w:tblGrid>
        <w:gridCol w:w="1800"/>
        <w:gridCol w:w="1140"/>
        <w:gridCol w:w="1260"/>
        <w:gridCol w:w="1360"/>
        <w:gridCol w:w="1380"/>
        <w:gridCol w:w="1440"/>
        <w:gridCol w:w="1360"/>
      </w:tblGrid>
      <w:tr w:rsidR="00436AC9" w:rsidTr="003D6D7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车辆险种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车价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万</w:t>
            </w:r>
          </w:p>
        </w:tc>
      </w:tr>
      <w:tr w:rsidR="00436AC9" w:rsidTr="003D6D7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highlight w:val="cyan"/>
              </w:rPr>
              <w:t>电销报价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2328.42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3023.76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4414.45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5936.96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7327.65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cyan"/>
              </w:rPr>
              <w:t>8907.88</w:t>
            </w:r>
          </w:p>
        </w:tc>
      </w:tr>
      <w:tr w:rsidR="00436AC9" w:rsidTr="003D6D7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highlight w:val="green"/>
              </w:rPr>
              <w:t>车管服务报价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2054.4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2668.03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3895.1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5238.50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6465.57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green"/>
              </w:rPr>
              <w:t>7859.90</w:t>
            </w:r>
          </w:p>
        </w:tc>
      </w:tr>
      <w:tr w:rsidR="00436AC9" w:rsidTr="003D6D7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  <w:highlight w:val="yellow"/>
              </w:rPr>
              <w:t>节省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684.83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889.34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1298.37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1746.16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2155.19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C9" w:rsidRDefault="00436AC9" w:rsidP="003D6D73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highlight w:val="yellow"/>
              </w:rPr>
              <w:t>2619.96</w:t>
            </w:r>
          </w:p>
        </w:tc>
      </w:tr>
    </w:tbl>
    <w:p w:rsidR="00436AC9" w:rsidRDefault="00436AC9" w:rsidP="00436AC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特别增值服务（保费指车辆保险商业保费）</w:t>
      </w:r>
    </w:p>
    <w:tbl>
      <w:tblPr>
        <w:tblW w:w="9717" w:type="dxa"/>
        <w:tblInd w:w="-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1059"/>
        <w:gridCol w:w="1082"/>
        <w:gridCol w:w="1082"/>
        <w:gridCol w:w="1082"/>
        <w:gridCol w:w="1082"/>
        <w:gridCol w:w="1409"/>
      </w:tblGrid>
      <w:tr w:rsidR="00436AC9" w:rsidTr="003D6D73">
        <w:trPr>
          <w:trHeight w:val="1028"/>
        </w:trPr>
        <w:tc>
          <w:tcPr>
            <w:tcW w:w="29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服务项目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&gt;2000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&gt;3000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&gt;4000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&gt;5000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&gt;7000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保费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&gt;10000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元</w:t>
            </w:r>
          </w:p>
        </w:tc>
      </w:tr>
      <w:tr w:rsidR="00436AC9" w:rsidTr="003D6D73">
        <w:trPr>
          <w:trHeight w:val="419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免费年检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193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次</w:t>
            </w:r>
          </w:p>
        </w:tc>
      </w:tr>
      <w:tr w:rsidR="00436AC9" w:rsidTr="003D6D73">
        <w:trPr>
          <w:trHeight w:val="266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 xml:space="preserve">  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汽车清洗服务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8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10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11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12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次</w:t>
            </w:r>
          </w:p>
        </w:tc>
      </w:tr>
      <w:tr w:rsidR="00436AC9" w:rsidTr="003D6D73">
        <w:trPr>
          <w:trHeight w:val="347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续保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+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违章实时提醒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347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年期</w:t>
            </w:r>
          </w:p>
        </w:tc>
      </w:tr>
      <w:tr w:rsidR="00436AC9" w:rsidTr="003D6D73">
        <w:trPr>
          <w:trHeight w:val="476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意外保险一年期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2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 w:hint="eastAsia"/>
                <w:b/>
                <w:bCs/>
                <w:color w:val="000000"/>
                <w:kern w:val="24"/>
                <w:szCs w:val="21"/>
              </w:rPr>
              <w:t>2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 w:hint="eastAsia"/>
                <w:b/>
                <w:bCs/>
                <w:color w:val="000000"/>
                <w:kern w:val="24"/>
                <w:szCs w:val="21"/>
              </w:rPr>
              <w:t>3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人</w:t>
            </w: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/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</w:tr>
      <w:tr w:rsidR="00436AC9" w:rsidTr="003D6D73">
        <w:trPr>
          <w:trHeight w:val="476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家庭财产保险一年期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</w:t>
            </w:r>
            <w:r>
              <w:rPr>
                <w:rFonts w:hAnsi="宋体" w:cs="Arial" w:hint="eastAsia"/>
                <w:b/>
                <w:bCs/>
                <w:color w:val="000000"/>
                <w:kern w:val="24"/>
                <w:szCs w:val="21"/>
              </w:rPr>
              <w:t>份</w:t>
            </w:r>
          </w:p>
        </w:tc>
      </w:tr>
      <w:tr w:rsidR="00436AC9" w:rsidTr="003D6D73">
        <w:trPr>
          <w:trHeight w:val="208"/>
        </w:trPr>
        <w:tc>
          <w:tcPr>
            <w:tcW w:w="29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i/>
                <w:iCs/>
                <w:color w:val="000000"/>
                <w:kern w:val="24"/>
                <w:szCs w:val="21"/>
              </w:rPr>
              <w:t>（监管要求）市场估值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820.0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1160.0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1380.0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2000.0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2410.0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AC9" w:rsidRDefault="00436AC9" w:rsidP="003D6D73">
            <w:pPr>
              <w:widowControl/>
              <w:kinsoku w:val="0"/>
              <w:overflowPunct w:val="0"/>
              <w:spacing w:before="58" w:line="208" w:lineRule="atLeast"/>
              <w:jc w:val="center"/>
              <w:textAlignment w:val="baseline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cs="Calibri"/>
                <w:b/>
                <w:bCs/>
                <w:color w:val="000000"/>
                <w:kern w:val="24"/>
                <w:szCs w:val="21"/>
              </w:rPr>
              <w:t>3260.0</w:t>
            </w:r>
          </w:p>
        </w:tc>
      </w:tr>
    </w:tbl>
    <w:p w:rsidR="00436AC9" w:rsidRDefault="00436AC9" w:rsidP="00436AC9">
      <w:pPr>
        <w:ind w:right="15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专属服务团队</w:t>
      </w:r>
    </w:p>
    <w:tbl>
      <w:tblPr>
        <w:tblW w:w="965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633"/>
        <w:gridCol w:w="1917"/>
        <w:gridCol w:w="2167"/>
        <w:gridCol w:w="2933"/>
      </w:tblGrid>
      <w:tr w:rsidR="00436AC9" w:rsidTr="003D6D73">
        <w:trPr>
          <w:trHeight w:val="497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承保理赔服务专员</w:t>
            </w:r>
          </w:p>
        </w:tc>
      </w:tr>
      <w:tr w:rsidR="00436AC9" w:rsidTr="003D6D73">
        <w:trPr>
          <w:trHeight w:val="75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联系电话</w:t>
            </w:r>
          </w:p>
        </w:tc>
      </w:tr>
      <w:tr w:rsidR="00436AC9" w:rsidTr="003D6D73">
        <w:trPr>
          <w:trHeight w:val="780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中国人寿财产保险股份有限公司北京市分公司业务七部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白墨桐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承保服务</w:t>
            </w:r>
          </w:p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18610569701</w:t>
            </w:r>
          </w:p>
        </w:tc>
      </w:tr>
      <w:tr w:rsidR="00436AC9" w:rsidTr="003D6D73">
        <w:trPr>
          <w:trHeight w:val="615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张志培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13331040802</w:t>
            </w:r>
          </w:p>
        </w:tc>
      </w:tr>
      <w:tr w:rsidR="00436AC9" w:rsidTr="003D6D73">
        <w:trPr>
          <w:trHeight w:val="600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张凌龙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保费报价服务</w:t>
            </w:r>
          </w:p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13426100010</w:t>
            </w:r>
          </w:p>
        </w:tc>
      </w:tr>
      <w:tr w:rsidR="00436AC9" w:rsidTr="003D6D73">
        <w:trPr>
          <w:trHeight w:val="334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李瑞森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18001153691</w:t>
            </w:r>
          </w:p>
        </w:tc>
      </w:tr>
      <w:tr w:rsidR="00436AC9" w:rsidTr="003D6D73">
        <w:trPr>
          <w:trHeight w:val="184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勾大伟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理赔服务</w:t>
            </w:r>
          </w:p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pStyle w:val="1"/>
              <w:ind w:right="15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18612922361</w:t>
            </w:r>
          </w:p>
        </w:tc>
      </w:tr>
      <w:tr w:rsidR="00436AC9" w:rsidTr="003D6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关路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C9" w:rsidRDefault="00436AC9" w:rsidP="003D6D73">
            <w:pPr>
              <w:ind w:right="15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18600693911</w:t>
            </w:r>
          </w:p>
        </w:tc>
      </w:tr>
    </w:tbl>
    <w:p w:rsidR="008828CC" w:rsidRDefault="008828CC"/>
    <w:sectPr w:rsidR="00882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CC" w:rsidRDefault="008828CC" w:rsidP="00436AC9">
      <w:r>
        <w:separator/>
      </w:r>
    </w:p>
  </w:endnote>
  <w:endnote w:type="continuationSeparator" w:id="1">
    <w:p w:rsidR="008828CC" w:rsidRDefault="008828CC" w:rsidP="0043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CC" w:rsidRDefault="008828CC" w:rsidP="00436AC9">
      <w:r>
        <w:separator/>
      </w:r>
    </w:p>
  </w:footnote>
  <w:footnote w:type="continuationSeparator" w:id="1">
    <w:p w:rsidR="008828CC" w:rsidRDefault="008828CC" w:rsidP="00436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AC9"/>
    <w:rsid w:val="00436AC9"/>
    <w:rsid w:val="008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AC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36A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gh-ncepu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2</cp:revision>
  <dcterms:created xsi:type="dcterms:W3CDTF">2014-06-27T07:43:00Z</dcterms:created>
  <dcterms:modified xsi:type="dcterms:W3CDTF">2014-06-27T07:43:00Z</dcterms:modified>
</cp:coreProperties>
</file>