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972CE">
      <w:pPr>
        <w:widowControl/>
        <w:shd w:val="clear" w:color="auto" w:fill="FFFFFF"/>
        <w:spacing w:line="375" w:lineRule="atLeast"/>
        <w:jc w:val="both"/>
        <w:rPr>
          <w:rFonts w:hint="default" w:ascii="黑体" w:hAnsi="黑体" w:eastAsia="黑体" w:cs="Tahoma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ahoma"/>
          <w:kern w:val="0"/>
          <w:sz w:val="32"/>
          <w:szCs w:val="32"/>
        </w:rPr>
        <w:t>附件</w:t>
      </w:r>
      <w:r>
        <w:rPr>
          <w:rFonts w:hint="eastAsia" w:ascii="黑体" w:hAnsi="黑体" w:eastAsia="黑体" w:cs="Tahoma"/>
          <w:kern w:val="0"/>
          <w:sz w:val="32"/>
          <w:szCs w:val="32"/>
          <w:lang w:val="en-US" w:eastAsia="zh-CN"/>
        </w:rPr>
        <w:t>4</w:t>
      </w:r>
    </w:p>
    <w:p w14:paraId="140D3DA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6" w:beforeLines="100" w:after="316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比赛规则</w:t>
      </w:r>
    </w:p>
    <w:p w14:paraId="5FE7D2A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比赛规则</w:t>
      </w:r>
    </w:p>
    <w:p w14:paraId="13B649D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文字内容与课件内容各占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1/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2左右。</w:t>
      </w:r>
    </w:p>
    <w:p w14:paraId="248681B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2.文字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内容按照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比赛号码抽取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课件内容选手自行设计，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包括但不限于各种图形、图表、公式、英文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文字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等。</w:t>
      </w:r>
    </w:p>
    <w:p w14:paraId="2AB873E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所有选手在标有本人号码的黑板区域内书写，每人完成板书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总时长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不超过15分钟；过程中如有疑问，请与工作人员进行沟通，最后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分钟会有工作人员提醒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 w14:paraId="31DC4C7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统一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用教室中常见的圆柱形白色和彩色粉笔。</w:t>
      </w:r>
    </w:p>
    <w:p w14:paraId="69CA9FF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、评分规则</w:t>
      </w:r>
    </w:p>
    <w:p w14:paraId="13C0F06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文字内容和课件内容比重各占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1/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2。文字内容评分规则如下：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笔法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有轻重、粗细，富有变化；字法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方面，正书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结构平正、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行书流美，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无错别字、漏字、多字；章法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整体布局整洁美观，字距、行距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疏朗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合理。</w:t>
      </w:r>
    </w:p>
    <w:p w14:paraId="7ABA413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课件内容评分规则如下：</w:t>
      </w:r>
    </w:p>
    <w:p w14:paraId="4DEF784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内容准确无误；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设计科学、美观、布局合理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体现教学特色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 w14:paraId="4AF2F38F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图例</w:t>
      </w:r>
    </w:p>
    <w:p w14:paraId="21F0A37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见下图：</w:t>
      </w:r>
    </w:p>
    <w:p w14:paraId="7826F84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2F71750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7A888CB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33FAEC2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仿宋" w:hAnsi="仿宋" w:eastAsia="仿宋" w:cs="Tahoma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135890</wp:posOffset>
            </wp:positionH>
            <wp:positionV relativeFrom="paragraph">
              <wp:posOffset>264160</wp:posOffset>
            </wp:positionV>
            <wp:extent cx="5335905" cy="4147185"/>
            <wp:effectExtent l="0" t="0" r="17145" b="5715"/>
            <wp:wrapTight wrapText="bothSides">
              <wp:wrapPolygon>
                <wp:start x="0" y="0"/>
                <wp:lineTo x="0" y="21531"/>
                <wp:lineTo x="21515" y="21531"/>
                <wp:lineTo x="21515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8" t="2546"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414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6D536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2015FD8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 w14:paraId="69E10679">
      <w:pPr>
        <w:pStyle w:val="3"/>
        <w:shd w:val="clear" w:color="auto" w:fill="FFFFFF"/>
        <w:spacing w:before="0" w:beforeAutospacing="0" w:after="0" w:afterAutospacing="0" w:line="520" w:lineRule="exact"/>
        <w:ind w:firstLine="480"/>
      </w:pPr>
    </w:p>
    <w:p w14:paraId="4A2F89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7FF2C0"/>
    <w:multiLevelType w:val="singleLevel"/>
    <w:tmpl w:val="A77FF2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D0AAE"/>
    <w:rsid w:val="19756550"/>
    <w:rsid w:val="526C0F0C"/>
    <w:rsid w:val="77904DB5"/>
    <w:rsid w:val="7B9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https://news.tsinghua.edu.cn/__local/7/81/04/EC8C10B71E44195BC5496AF8061_CD6F6B81_CC2E.jpg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2026-10-30T03:12:00Z</dcterms:created>
  <dc:creator>张羚洋</dc:creator>
  <cp:lastModifiedBy>张羚洋</cp:lastModifiedBy>
  <dcterms:modified xsi:type="dcterms:W3CDTF">2026-10-30T03:15:23Z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6BA147CB02184D41B019B32EC1ABFD85_11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